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Bullion Gold Transaction Procedures</w:t>
      </w:r>
    </w:p>
    <w:p>
      <w:r>
        <w:t>1. The End Buyer issues a Bank Confirmation Letter (BCL) to the Seller’s banking coordinates, confirming that the End Buyer has sufficient funds and readiness to transact bullion gold with a minimum quantity of 1,000 kilograms.</w:t>
      </w:r>
    </w:p>
    <w:p>
      <w:r>
        <w:t>2. The End Buyer and Seller sign and seal the Sales and Purchase Agreement (SPA) and submit the executed SPA to their respective banks.</w:t>
      </w:r>
    </w:p>
    <w:p>
      <w:r>
        <w:t>3. The End Buyer’s Bank initiates a Relationship Management Application (RMA) with the Seller’s Bank via SWIFT MT999 in order to establish bank-to-bank communication.</w:t>
      </w:r>
    </w:p>
    <w:p>
      <w:r>
        <w:t>4. The End Buyer’s Bank issues the Irrevocable Corporate Purchase Order (ICPO) through SWIFT MT799 to the Seller’s Bank.</w:t>
      </w:r>
    </w:p>
    <w:p>
      <w:r>
        <w:t>5. The Seller’s Bank responds by issuing a Commercial Invoice (CI) including Partial Proof of Product (PPOP) with the following information: Location of the gold, Bullion bar hallmark, Packing list and product quantity, Transportation and insurance company, Shipment schedule, and Photo or video evidence with an international newspaper.</w:t>
      </w:r>
    </w:p>
    <w:p>
      <w:r>
        <w:t>6. The End Buyer instructs their Bank to issue a Standby Letter of Credit (SBLC) – Unconditional, or a Transferable Letter of Credit (LC) at Sight, as a payment guarantee to secure the commodity and price.</w:t>
      </w:r>
    </w:p>
    <w:p>
      <w:r>
        <w:t>7. After the financial instrument is received and verified by the Seller’s Bank and authenticated through SWIFT verification via the SWIFT Head Office in Brussels, the instrument is confirmed as cash-backed.</w:t>
      </w:r>
    </w:p>
    <w:p>
      <w:r>
        <w:t>8. The Seller’s Bank then issues SWIFT MT600 – Commodity Trade Confirmation, providing Full Proof of Product (Full POP) to the End Buyer’s Bank.</w:t>
      </w:r>
    </w:p>
    <w:p>
      <w:r>
        <w:t>9. The Seller informs the Insurance and Security Company to arrange permission for the End Buyer or the Buyer’s representatives to visit the gold location and conduct physical on-site inspection using verification equipment and to match the bullion bars with the corresponding documentation and certificates.</w:t>
      </w:r>
    </w:p>
    <w:p>
      <w:r>
        <w:t>10. The Seller prepares the export documentation and declares the shipment to airport customs for export to the End Buyer’s destination.</w:t>
      </w:r>
    </w:p>
    <w:p>
      <w:r>
        <w:t>11. The End Buyer or the Buyer’s representative meets the shipment at the destination airport and completes import clearance procedures, including payment of all applicable import duties, taxes, and related charges.</w:t>
      </w:r>
    </w:p>
    <w:p>
      <w:r>
        <w:t>12. The Seller transports the bullion gold to the End Buyer’s designated safe vault, bonded warehouse, or an LBMA-approved refinery.</w:t>
      </w:r>
    </w:p>
    <w:p>
      <w:r>
        <w:t>13. All export costs from the Seller’s warehouse to the End Buyer’s airport are borne by the Seller. All import costs from the End Buyer’s airport to the refinery or vault are borne by the End Buyer, in accordance with CIF Incoterms 2020.</w:t>
      </w:r>
    </w:p>
    <w:p>
      <w:r>
        <w:t>14. The Seller appoints professional security logistics companies such as Malca-Amit, Brinks, or G4S to handle transportation and insurance of the bullion shipment.</w:t>
      </w:r>
    </w:p>
    <w:p>
      <w:r>
        <w:t>15. After the bullion gold arrives at the refinery, a Final Assay Inspection is conducted by the refinery.</w:t>
      </w:r>
    </w:p>
    <w:p>
      <w:r>
        <w:t>16. Within 24 hours after the final assay report, the End Buyer releases payment via SWIFT MT103 wire transfer to the Seller for the equivalent value of the bullion gold received.</w:t>
      </w:r>
    </w:p>
    <w:p>
      <w:r>
        <w:t>17. Once the Seller’s Bank confirms receipt of the payment, the Seller transfers the legal title of ownership of the bullion gold to the End Buyer.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